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52569B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GS-2652</w:t>
      </w:r>
      <w:r w:rsidR="00AE0A91">
        <w:rPr>
          <w:rFonts w:ascii="Segoe UI" w:hAnsi="Segoe UI" w:cs="Segoe UI"/>
          <w:bCs/>
          <w:color w:val="000000" w:themeColor="text1"/>
          <w:sz w:val="52"/>
          <w:szCs w:val="32"/>
        </w:rPr>
        <w:t>B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52569B" w:rsidRPr="0052569B" w:rsidRDefault="00C214EE" w:rsidP="0052569B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bookmarkStart w:id="3" w:name="_Toc461106043"/>
      <w:bookmarkStart w:id="4" w:name="_Toc476757288"/>
      <w:bookmarkStart w:id="5" w:name="_Toc476758731"/>
      <w:bookmarkStart w:id="6" w:name="_Toc476759154"/>
      <w:bookmarkStart w:id="7" w:name="_Toc489027469"/>
      <w:bookmarkStart w:id="8" w:name="_Toc489028389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52569B" w:rsidRPr="0052569B" w:rsidRDefault="00741DC8" w:rsidP="0052569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390" w:history="1">
        <w:r w:rsidR="0052569B" w:rsidRPr="0052569B">
          <w:rPr>
            <w:color w:val="548DD4"/>
            <w:sz w:val="40"/>
            <w:szCs w:val="22"/>
          </w:rPr>
          <w:t>Chapter 1</w:t>
        </w:r>
        <w:r w:rsidR="0052569B" w:rsidRPr="0052569B">
          <w:rPr>
            <w:color w:val="548DD4"/>
            <w:sz w:val="40"/>
            <w:szCs w:val="22"/>
          </w:rPr>
          <w:tab/>
          <w:t>Introduction</w:t>
        </w:r>
        <w:r w:rsidR="0052569B" w:rsidRPr="0052569B">
          <w:rPr>
            <w:webHidden/>
            <w:color w:val="548DD4"/>
            <w:sz w:val="40"/>
            <w:szCs w:val="22"/>
          </w:rPr>
          <w:tab/>
        </w:r>
        <w:r w:rsidR="0052569B" w:rsidRPr="0052569B">
          <w:rPr>
            <w:webHidden/>
            <w:color w:val="548DD4"/>
            <w:sz w:val="40"/>
            <w:szCs w:val="22"/>
          </w:rPr>
          <w:fldChar w:fldCharType="begin"/>
        </w:r>
        <w:r w:rsidR="0052569B" w:rsidRPr="0052569B">
          <w:rPr>
            <w:webHidden/>
            <w:color w:val="548DD4"/>
            <w:sz w:val="40"/>
            <w:szCs w:val="22"/>
          </w:rPr>
          <w:instrText xml:space="preserve"> PAGEREF _Toc489028390 \h </w:instrText>
        </w:r>
        <w:r w:rsidR="0052569B" w:rsidRPr="0052569B">
          <w:rPr>
            <w:webHidden/>
            <w:color w:val="548DD4"/>
            <w:sz w:val="40"/>
            <w:szCs w:val="22"/>
          </w:rPr>
        </w:r>
        <w:r w:rsidR="0052569B" w:rsidRPr="0052569B">
          <w:rPr>
            <w:webHidden/>
            <w:color w:val="548DD4"/>
            <w:sz w:val="40"/>
            <w:szCs w:val="22"/>
          </w:rPr>
          <w:fldChar w:fldCharType="separate"/>
        </w:r>
        <w:r w:rsidR="0052569B" w:rsidRPr="0052569B">
          <w:rPr>
            <w:webHidden/>
            <w:color w:val="548DD4"/>
            <w:sz w:val="40"/>
            <w:szCs w:val="22"/>
          </w:rPr>
          <w:t>1</w:t>
        </w:r>
        <w:r w:rsidR="0052569B" w:rsidRPr="0052569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1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_Toc489028391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2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_Toc489028392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3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_Toc489028393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4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_Toc489028394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5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_Toc489028395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3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Default="00741DC8" w:rsidP="0052569B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89028396" w:history="1">
        <w:r w:rsidR="0052569B" w:rsidRPr="0052569B">
          <w:rPr>
            <w:color w:val="548DD4"/>
            <w:sz w:val="40"/>
            <w:szCs w:val="22"/>
          </w:rPr>
          <w:t>Chapter 2</w:t>
        </w:r>
        <w:r w:rsidR="0052569B" w:rsidRPr="0052569B">
          <w:rPr>
            <w:color w:val="548DD4"/>
            <w:sz w:val="40"/>
            <w:szCs w:val="22"/>
          </w:rPr>
          <w:tab/>
          <w:t>Installing the Switch</w:t>
        </w:r>
        <w:r w:rsidR="0052569B" w:rsidRPr="0052569B">
          <w:rPr>
            <w:webHidden/>
            <w:color w:val="548DD4"/>
            <w:sz w:val="40"/>
            <w:szCs w:val="22"/>
          </w:rPr>
          <w:tab/>
        </w:r>
        <w:r w:rsidR="0052569B" w:rsidRPr="0052569B">
          <w:rPr>
            <w:webHidden/>
            <w:color w:val="548DD4"/>
            <w:sz w:val="40"/>
            <w:szCs w:val="22"/>
          </w:rPr>
          <w:fldChar w:fldCharType="begin"/>
        </w:r>
        <w:r w:rsidR="0052569B" w:rsidRPr="0052569B">
          <w:rPr>
            <w:webHidden/>
            <w:color w:val="548DD4"/>
            <w:sz w:val="40"/>
            <w:szCs w:val="22"/>
          </w:rPr>
          <w:instrText xml:space="preserve"> PAGEREF _Toc489028396 \h </w:instrText>
        </w:r>
        <w:r w:rsidR="0052569B" w:rsidRPr="0052569B">
          <w:rPr>
            <w:webHidden/>
            <w:color w:val="548DD4"/>
            <w:sz w:val="40"/>
            <w:szCs w:val="22"/>
          </w:rPr>
        </w:r>
        <w:r w:rsidR="0052569B" w:rsidRPr="0052569B">
          <w:rPr>
            <w:webHidden/>
            <w:color w:val="548DD4"/>
            <w:sz w:val="40"/>
            <w:szCs w:val="22"/>
          </w:rPr>
          <w:fldChar w:fldCharType="separate"/>
        </w:r>
        <w:r w:rsidR="0052569B" w:rsidRPr="0052569B">
          <w:rPr>
            <w:webHidden/>
            <w:color w:val="548DD4"/>
            <w:sz w:val="40"/>
            <w:szCs w:val="22"/>
          </w:rPr>
          <w:t>5</w:t>
        </w:r>
        <w:r w:rsidR="0052569B" w:rsidRPr="0052569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7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_Toc489028397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8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_Toc489028398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399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_Toc489028399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400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_Toc489028400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401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_Toc489028401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402" w:history="1">
        <w:r w:rsidR="0052569B" w:rsidRPr="0052569B">
          <w:rPr>
            <w:color w:val="548DD4"/>
            <w:sz w:val="40"/>
            <w:szCs w:val="22"/>
          </w:rPr>
          <w:t>Chapter 3</w:t>
        </w:r>
        <w:r w:rsidR="0052569B" w:rsidRPr="0052569B">
          <w:rPr>
            <w:color w:val="548DD4"/>
            <w:sz w:val="40"/>
            <w:szCs w:val="22"/>
          </w:rPr>
          <w:tab/>
          <w:t>Initial Configuration of Switch</w:t>
        </w:r>
        <w:r w:rsidR="0052569B" w:rsidRPr="0052569B">
          <w:rPr>
            <w:webHidden/>
            <w:color w:val="548DD4"/>
            <w:sz w:val="40"/>
            <w:szCs w:val="22"/>
          </w:rPr>
          <w:tab/>
        </w:r>
        <w:r w:rsidR="0052569B" w:rsidRPr="0052569B">
          <w:rPr>
            <w:webHidden/>
            <w:color w:val="548DD4"/>
            <w:sz w:val="40"/>
            <w:szCs w:val="22"/>
          </w:rPr>
          <w:fldChar w:fldCharType="begin"/>
        </w:r>
        <w:r w:rsidR="0052569B" w:rsidRPr="0052569B">
          <w:rPr>
            <w:webHidden/>
            <w:color w:val="548DD4"/>
            <w:sz w:val="40"/>
            <w:szCs w:val="22"/>
          </w:rPr>
          <w:instrText xml:space="preserve"> PAGEREF _Toc489028402 \h </w:instrText>
        </w:r>
        <w:r w:rsidR="0052569B" w:rsidRPr="0052569B">
          <w:rPr>
            <w:webHidden/>
            <w:color w:val="548DD4"/>
            <w:sz w:val="40"/>
            <w:szCs w:val="22"/>
          </w:rPr>
        </w:r>
        <w:r w:rsidR="0052569B" w:rsidRPr="0052569B">
          <w:rPr>
            <w:webHidden/>
            <w:color w:val="548DD4"/>
            <w:sz w:val="40"/>
            <w:szCs w:val="22"/>
          </w:rPr>
          <w:fldChar w:fldCharType="separate"/>
        </w:r>
        <w:r w:rsidR="0052569B" w:rsidRPr="0052569B">
          <w:rPr>
            <w:webHidden/>
            <w:color w:val="548DD4"/>
            <w:sz w:val="40"/>
            <w:szCs w:val="22"/>
          </w:rPr>
          <w:t>9</w:t>
        </w:r>
        <w:r w:rsidR="0052569B" w:rsidRPr="0052569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52569B" w:rsidRPr="0052569B" w:rsidRDefault="0052569B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403" w:history="1">
        <w:r w:rsidRPr="0052569B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_Toc489028403 \h </w:instrText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741DC8" w:rsidP="0052569B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89028404" w:history="1">
        <w:r w:rsidR="0052569B" w:rsidRPr="0052569B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_Toc489028404 \h </w:instrTex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52569B" w:rsidRPr="0052569B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52569B" w:rsidRPr="0052569B" w:rsidRDefault="0052569B" w:rsidP="0052569B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89028405" w:history="1">
        <w:r w:rsidRPr="0052569B">
          <w:rPr>
            <w:color w:val="548DD4"/>
            <w:sz w:val="40"/>
            <w:szCs w:val="22"/>
          </w:rPr>
          <w:t>Chapter 4</w:t>
        </w:r>
        <w:r w:rsidRPr="0052569B">
          <w:rPr>
            <w:color w:val="548DD4"/>
            <w:sz w:val="40"/>
            <w:szCs w:val="22"/>
          </w:rPr>
          <w:tab/>
          <w:t>Troubleshooting</w:t>
        </w:r>
        <w:r w:rsidRPr="0052569B">
          <w:rPr>
            <w:webHidden/>
            <w:color w:val="548DD4"/>
            <w:sz w:val="40"/>
            <w:szCs w:val="22"/>
          </w:rPr>
          <w:tab/>
        </w:r>
        <w:r w:rsidRPr="0052569B">
          <w:rPr>
            <w:webHidden/>
            <w:color w:val="548DD4"/>
            <w:sz w:val="40"/>
            <w:szCs w:val="22"/>
          </w:rPr>
          <w:fldChar w:fldCharType="begin"/>
        </w:r>
        <w:r w:rsidRPr="0052569B">
          <w:rPr>
            <w:webHidden/>
            <w:color w:val="548DD4"/>
            <w:sz w:val="40"/>
            <w:szCs w:val="22"/>
          </w:rPr>
          <w:instrText xml:space="preserve"> PAGEREF _Toc489028405 \h </w:instrText>
        </w:r>
        <w:r w:rsidRPr="0052569B">
          <w:rPr>
            <w:webHidden/>
            <w:color w:val="548DD4"/>
            <w:sz w:val="40"/>
            <w:szCs w:val="22"/>
          </w:rPr>
        </w:r>
        <w:r w:rsidRPr="0052569B">
          <w:rPr>
            <w:webHidden/>
            <w:color w:val="548DD4"/>
            <w:sz w:val="40"/>
            <w:szCs w:val="22"/>
          </w:rPr>
          <w:fldChar w:fldCharType="separate"/>
        </w:r>
        <w:r w:rsidRPr="0052569B">
          <w:rPr>
            <w:webHidden/>
            <w:color w:val="548DD4"/>
            <w:sz w:val="40"/>
            <w:szCs w:val="22"/>
          </w:rPr>
          <w:t>12</w:t>
        </w:r>
        <w:r w:rsidRPr="0052569B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9" w:name="_Toc300762231"/>
    <w:bookmarkStart w:id="10" w:name="_Toc441507501"/>
    <w:bookmarkStart w:id="11" w:name="_Toc489028390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9"/>
      <w:bookmarkEnd w:id="10"/>
      <w:r w:rsidR="00EF2FD6" w:rsidRPr="00874EDA">
        <w:rPr>
          <w:rFonts w:cs="Segoe UI"/>
          <w:sz w:val="56"/>
          <w:szCs w:val="52"/>
        </w:rPr>
        <w:t>on</w:t>
      </w:r>
      <w:bookmarkEnd w:id="11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300762232"/>
      <w:bookmarkStart w:id="13" w:name="_Toc441507502"/>
      <w:bookmarkStart w:id="14" w:name="_Toc489028391"/>
      <w:r w:rsidRPr="00874EDA">
        <w:rPr>
          <w:rFonts w:cs="Segoe UI"/>
          <w:sz w:val="44"/>
        </w:rPr>
        <w:t>O</w:t>
      </w:r>
      <w:bookmarkEnd w:id="12"/>
      <w:bookmarkEnd w:id="13"/>
      <w:r w:rsidR="00757455" w:rsidRPr="00874EDA">
        <w:rPr>
          <w:rFonts w:cs="Segoe UI"/>
          <w:sz w:val="44"/>
        </w:rPr>
        <w:t>verview</w:t>
      </w:r>
      <w:bookmarkEnd w:id="14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52569B">
        <w:rPr>
          <w:rFonts w:ascii="Segoe UI" w:hAnsi="Segoe UI" w:cs="Segoe UI"/>
          <w:bCs/>
          <w:color w:val="000000" w:themeColor="text1"/>
          <w:sz w:val="28"/>
          <w:szCs w:val="28"/>
        </w:rPr>
        <w:t>GS-2652</w:t>
      </w:r>
      <w:r w:rsidR="00AE0A91">
        <w:rPr>
          <w:rFonts w:ascii="Segoe UI" w:hAnsi="Segoe UI" w:cs="Segoe UI"/>
          <w:bCs/>
          <w:color w:val="000000" w:themeColor="text1"/>
          <w:sz w:val="28"/>
          <w:szCs w:val="28"/>
        </w:rPr>
        <w:t>B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0164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5" w:name="_Toc489028392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5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52569B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254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S_2652B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6" w:name="_Toc489028393"/>
      <w:r w:rsidRPr="00491CDA">
        <w:rPr>
          <w:rFonts w:cs="Segoe UI"/>
          <w:sz w:val="44"/>
        </w:rPr>
        <w:t>Rear View of the Switch</w:t>
      </w:r>
      <w:bookmarkEnd w:id="16"/>
    </w:p>
    <w:p w:rsidR="00951B04" w:rsidRDefault="00016496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254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S_2652XB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7" w:name="_Toc489028394"/>
      <w:r w:rsidRPr="00874EDA">
        <w:rPr>
          <w:rFonts w:cs="Segoe UI"/>
          <w:sz w:val="44"/>
        </w:rPr>
        <w:lastRenderedPageBreak/>
        <w:t>LED Descriptions</w:t>
      </w:r>
      <w:bookmarkEnd w:id="17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A000F5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I</w:t>
      </w:r>
      <w:r w:rsidR="00125BC2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125BC2" w:rsidRPr="00E72943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125BC2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not, or, indicates if there is a system alarm triggered for troubleshooting.</w:t>
      </w:r>
    </w:p>
    <w:p w:rsidR="00A827A2" w:rsidRPr="00874EDA" w:rsidRDefault="002518E1" w:rsidP="002E7D66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A000F5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 w:hint="eastAsia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An abnormal state, such as exceeding operating temperature range, has been detected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2E7D66" w:rsidRDefault="00016496" w:rsidP="002E7D6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</w:t>
      </w:r>
      <w:r w:rsidR="002E7D66" w:rsidRPr="002E7D66">
        <w:rPr>
          <w:rFonts w:ascii="Segoe UI" w:hAnsi="Segoe UI" w:cs="Segoe UI"/>
          <w:bCs/>
          <w:sz w:val="28"/>
          <w:szCs w:val="28"/>
        </w:rPr>
        <w:t>sers can check the port status by reading the LED behaviors per the table below. </w:t>
      </w: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16496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4146EE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88"/>
      </w:tblGrid>
      <w:tr w:rsidR="0074761A" w:rsidRPr="00113037" w:rsidTr="00016496">
        <w:trPr>
          <w:trHeight w:val="1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761A" w:rsidRPr="00113037" w:rsidTr="00016496">
        <w:trPr>
          <w:trHeight w:val="73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761A" w:rsidRPr="00113037" w:rsidTr="00DB5B9E">
        <w:trPr>
          <w:trHeight w:val="498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761A" w:rsidRPr="00113037" w:rsidTr="00DB5B9E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761A" w:rsidRPr="00113037" w:rsidTr="00DB5B9E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761A" w:rsidRPr="00113037" w:rsidTr="00DB5B9E">
        <w:trPr>
          <w:trHeight w:val="125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61A" w:rsidRPr="00113037" w:rsidRDefault="0074761A" w:rsidP="00DB5B9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61A" w:rsidRPr="00113037" w:rsidRDefault="0074761A" w:rsidP="00DB5B9E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  <w:tr w:rsidR="0052569B" w:rsidRPr="00113037" w:rsidTr="00DB5B9E">
        <w:trPr>
          <w:trHeight w:val="59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113037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SFP</w:t>
            </w:r>
            <w:r w:rsidRPr="00113037">
              <w:rPr>
                <w:rFonts w:ascii="Segoe UI" w:eastAsia="PMingLiU" w:hAnsi="Segoe UI" w:cs="Segoe UI"/>
                <w:color w:val="000000"/>
              </w:rPr>
              <w:t xml:space="preserve">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9B" w:rsidRPr="00874EDA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52569B" w:rsidRPr="00113037" w:rsidTr="00DB5B9E">
        <w:trPr>
          <w:trHeight w:val="34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69B" w:rsidRPr="00113037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9B" w:rsidRPr="00874EDA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52569B" w:rsidRPr="00113037" w:rsidTr="00DB5B9E">
        <w:trPr>
          <w:trHeight w:val="6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69B" w:rsidRPr="00113037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9B" w:rsidRPr="00874EDA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52569B" w:rsidRPr="00113037" w:rsidTr="00DB5B9E">
        <w:trPr>
          <w:trHeight w:val="35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69B" w:rsidRPr="00113037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9B" w:rsidRPr="00874EDA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52569B" w:rsidRPr="00113037" w:rsidTr="00DB5B9E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569B" w:rsidRPr="00113037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69B" w:rsidRPr="00874EDA" w:rsidRDefault="0052569B" w:rsidP="0052569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69B" w:rsidRPr="00874EDA" w:rsidRDefault="0052569B" w:rsidP="0052569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has no active network cable connected, or it is not established a link to connected device. Otherwise, the port may have been disabled through the switch user interface.</w:t>
            </w:r>
          </w:p>
        </w:tc>
      </w:tr>
    </w:tbl>
    <w:p w:rsidR="00FC6048" w:rsidRPr="0074761A" w:rsidRDefault="00FC60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8" w:name="_Toc489028395"/>
      <w:r w:rsidRPr="0028433C">
        <w:rPr>
          <w:rFonts w:cs="Segoe UI"/>
          <w:sz w:val="44"/>
        </w:rPr>
        <w:t>Reset Button</w:t>
      </w:r>
      <w:bookmarkEnd w:id="18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Reset 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BF27BC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Default="00BF27BC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2443A2" w:rsidRPr="004A716F" w:rsidRDefault="002443A2" w:rsidP="005E186C">
      <w:pPr>
        <w:adjustRightInd w:val="0"/>
        <w:snapToGrid w:val="0"/>
        <w:spacing w:before="120" w:line="276" w:lineRule="auto"/>
        <w:rPr>
          <w:rFonts w:ascii="Segoe UI" w:hAnsi="Segoe UI" w:cs="Segoe UI"/>
          <w:b/>
          <w:color w:val="000000"/>
          <w:spacing w:val="1"/>
          <w:sz w:val="28"/>
          <w:szCs w:val="20"/>
        </w:rPr>
      </w:pP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Once the LED behaviors are correctly displayed,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16496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9" w:name="_Toc300762237"/>
    <w:bookmarkStart w:id="20" w:name="_Toc441507505"/>
    <w:bookmarkStart w:id="21" w:name="_Toc489028396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9"/>
      <w:bookmarkEnd w:id="20"/>
      <w:r w:rsidR="000E24CC" w:rsidRPr="00874EDA">
        <w:rPr>
          <w:rFonts w:cs="Segoe UI"/>
          <w:sz w:val="56"/>
          <w:szCs w:val="52"/>
        </w:rPr>
        <w:t>witch</w:t>
      </w:r>
      <w:bookmarkEnd w:id="21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22" w:name="_Toc489028397"/>
      <w:r w:rsidRPr="00874EDA">
        <w:rPr>
          <w:rFonts w:cs="Segoe UI"/>
          <w:sz w:val="44"/>
          <w:szCs w:val="44"/>
        </w:rPr>
        <w:t>Package Contents</w:t>
      </w:r>
      <w:bookmarkEnd w:id="22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741DC8" w:rsidRPr="00741DC8" w:rsidRDefault="00741DC8" w:rsidP="00741DC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Start w:id="23" w:name="_GoBack"/>
      <w:bookmarkEnd w:id="23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89028398"/>
      <w:r w:rsidRPr="00352835">
        <w:rPr>
          <w:rFonts w:cs="Segoe UI"/>
          <w:sz w:val="44"/>
          <w:szCs w:val="44"/>
        </w:rPr>
        <w:t>Mounting the Switch in a 19-inch Rack</w:t>
      </w:r>
      <w:bookmarkEnd w:id="24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489028399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5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89028400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6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F7AC0" w:rsidRPr="00874EDA" w:rsidRDefault="000F7AC0" w:rsidP="000F7AC0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7" w:name="_Toc447302475"/>
      <w:bookmarkStart w:id="28" w:name="_Toc489028401"/>
      <w:r w:rsidRPr="00352835">
        <w:rPr>
          <w:rFonts w:cs="Segoe UI"/>
          <w:sz w:val="44"/>
          <w:szCs w:val="44"/>
        </w:rPr>
        <w:t>Installing SFP Modules</w:t>
      </w:r>
      <w:bookmarkEnd w:id="27"/>
      <w:bookmarkEnd w:id="28"/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 xml:space="preserve">You can install or remove a mini-GBIC SFP module from a SFP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 port.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F7AC0" w:rsidRPr="00874EDA" w:rsidRDefault="000F7AC0" w:rsidP="000F7AC0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A7A4C5D" wp14:editId="30D0493A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C0" w:rsidRPr="00D877D5" w:rsidRDefault="000F7AC0" w:rsidP="000F7AC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0C7F13" w:rsidRDefault="000C7F13" w:rsidP="000C7F1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0C7F13" w:rsidRPr="00E660DD" w:rsidRDefault="000C7F13" w:rsidP="000C7F1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 w:rsidR="0052569B"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0C7F1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9" w:name="_Toc489028402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9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0" w:name="_Toc489028403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30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1" w:name="_Toc489028404"/>
      <w:r w:rsidRPr="00874EDA">
        <w:rPr>
          <w:rFonts w:cs="Segoe UI"/>
          <w:sz w:val="44"/>
          <w:szCs w:val="44"/>
        </w:rPr>
        <w:t>Initial Switch Configuration Procedure</w:t>
      </w:r>
      <w:bookmarkEnd w:id="31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741DC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805A20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896139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 8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2" w:name="_Toc441507508"/>
    <w:bookmarkStart w:id="33" w:name="_Toc489028405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2"/>
      <w:r w:rsidR="005906D1" w:rsidRPr="00874EDA">
        <w:rPr>
          <w:rFonts w:cs="Segoe UI"/>
          <w:sz w:val="56"/>
          <w:lang w:eastAsia="zh-TW"/>
        </w:rPr>
        <w:t>g</w:t>
      </w:r>
      <w:bookmarkEnd w:id="33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016496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5340"/>
      </w:tblGrid>
      <w:tr w:rsidR="00726425" w:rsidRPr="00346A23" w:rsidTr="00DF4028">
        <w:trPr>
          <w:trHeight w:val="3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26425" w:rsidRPr="00346A23" w:rsidTr="00DF4028">
        <w:trPr>
          <w:trHeight w:val="71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26425" w:rsidRPr="00346A23" w:rsidTr="00DF4028">
        <w:trPr>
          <w:trHeight w:val="15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016496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23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26425" w:rsidRPr="00346A23" w:rsidTr="00DF4028">
        <w:trPr>
          <w:trHeight w:val="385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25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26425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26425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B0" w:rsidRDefault="00A929B0" w:rsidP="00431C69">
      <w:r>
        <w:separator/>
      </w:r>
    </w:p>
  </w:endnote>
  <w:endnote w:type="continuationSeparator" w:id="0">
    <w:p w:rsidR="00A929B0" w:rsidRDefault="00A929B0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C8" w:rsidRPr="00741DC8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DC8" w:rsidRPr="00741DC8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B0" w:rsidRDefault="00A929B0" w:rsidP="00431C69">
      <w:r>
        <w:separator/>
      </w:r>
    </w:p>
  </w:footnote>
  <w:footnote w:type="continuationSeparator" w:id="0">
    <w:p w:rsidR="00A929B0" w:rsidRDefault="00A929B0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2B78"/>
    <w:rsid w:val="000133E6"/>
    <w:rsid w:val="00013834"/>
    <w:rsid w:val="00016496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57FA6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C7F13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0F7AC0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5788"/>
    <w:rsid w:val="001673A3"/>
    <w:rsid w:val="0017072F"/>
    <w:rsid w:val="00183EFF"/>
    <w:rsid w:val="00185C13"/>
    <w:rsid w:val="00193E8F"/>
    <w:rsid w:val="001946EB"/>
    <w:rsid w:val="00195C3E"/>
    <w:rsid w:val="001B3581"/>
    <w:rsid w:val="001B414A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443A2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1789"/>
    <w:rsid w:val="002C316B"/>
    <w:rsid w:val="002C6BBC"/>
    <w:rsid w:val="002D524A"/>
    <w:rsid w:val="002D6CB8"/>
    <w:rsid w:val="002D6FB7"/>
    <w:rsid w:val="002E090D"/>
    <w:rsid w:val="002E19F1"/>
    <w:rsid w:val="002E7D66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77301"/>
    <w:rsid w:val="00382919"/>
    <w:rsid w:val="003836C4"/>
    <w:rsid w:val="003836DA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46EE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725"/>
    <w:rsid w:val="00466453"/>
    <w:rsid w:val="00466788"/>
    <w:rsid w:val="0047139A"/>
    <w:rsid w:val="00473E5A"/>
    <w:rsid w:val="00481442"/>
    <w:rsid w:val="00483461"/>
    <w:rsid w:val="00483604"/>
    <w:rsid w:val="00485B91"/>
    <w:rsid w:val="004868A0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69B"/>
    <w:rsid w:val="00525DF5"/>
    <w:rsid w:val="00533040"/>
    <w:rsid w:val="00533402"/>
    <w:rsid w:val="005355A4"/>
    <w:rsid w:val="00540870"/>
    <w:rsid w:val="0054276E"/>
    <w:rsid w:val="0054606F"/>
    <w:rsid w:val="005546F4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186C"/>
    <w:rsid w:val="005E2999"/>
    <w:rsid w:val="005E4E69"/>
    <w:rsid w:val="005E5B8A"/>
    <w:rsid w:val="005F0382"/>
    <w:rsid w:val="005F054E"/>
    <w:rsid w:val="005F2600"/>
    <w:rsid w:val="005F2EA3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1A33"/>
    <w:rsid w:val="006430F8"/>
    <w:rsid w:val="00647865"/>
    <w:rsid w:val="00647C49"/>
    <w:rsid w:val="00651771"/>
    <w:rsid w:val="00654609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4A3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6F6C1A"/>
    <w:rsid w:val="007015E6"/>
    <w:rsid w:val="007020BE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1DC8"/>
    <w:rsid w:val="00743227"/>
    <w:rsid w:val="007440A2"/>
    <w:rsid w:val="00745616"/>
    <w:rsid w:val="0074761A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A3ADB"/>
    <w:rsid w:val="007B3020"/>
    <w:rsid w:val="007B7275"/>
    <w:rsid w:val="007C08CF"/>
    <w:rsid w:val="007C3136"/>
    <w:rsid w:val="007C77B2"/>
    <w:rsid w:val="007D44E4"/>
    <w:rsid w:val="007E56DD"/>
    <w:rsid w:val="007F2D8D"/>
    <w:rsid w:val="007F6535"/>
    <w:rsid w:val="0080330A"/>
    <w:rsid w:val="00805A20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96139"/>
    <w:rsid w:val="008A374D"/>
    <w:rsid w:val="008A48D7"/>
    <w:rsid w:val="008B3938"/>
    <w:rsid w:val="008C7258"/>
    <w:rsid w:val="008D45E7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2B2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A5FE6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000F5"/>
    <w:rsid w:val="00A1633C"/>
    <w:rsid w:val="00A22159"/>
    <w:rsid w:val="00A23D81"/>
    <w:rsid w:val="00A24F26"/>
    <w:rsid w:val="00A32565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29B0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63CD"/>
    <w:rsid w:val="00AC78DD"/>
    <w:rsid w:val="00AD121E"/>
    <w:rsid w:val="00AD2472"/>
    <w:rsid w:val="00AD5AEE"/>
    <w:rsid w:val="00AD5C70"/>
    <w:rsid w:val="00AD6623"/>
    <w:rsid w:val="00AE0A91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3B2"/>
    <w:rsid w:val="00B92932"/>
    <w:rsid w:val="00B938EC"/>
    <w:rsid w:val="00B95075"/>
    <w:rsid w:val="00B95C44"/>
    <w:rsid w:val="00B97EE9"/>
    <w:rsid w:val="00BA1265"/>
    <w:rsid w:val="00BA5A21"/>
    <w:rsid w:val="00BA69CD"/>
    <w:rsid w:val="00BA7132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27BC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20BB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B7744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5F46"/>
    <w:rsid w:val="00DF640E"/>
    <w:rsid w:val="00E012C0"/>
    <w:rsid w:val="00E02369"/>
    <w:rsid w:val="00E03DDD"/>
    <w:rsid w:val="00E0401A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95ACA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4928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533F-1A18-49E3-A766-4D53946F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6</cp:revision>
  <dcterms:created xsi:type="dcterms:W3CDTF">2017-07-28T09:30:00Z</dcterms:created>
  <dcterms:modified xsi:type="dcterms:W3CDTF">2019-09-25T03:36:00Z</dcterms:modified>
</cp:coreProperties>
</file>